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4" w:rsidRDefault="00243B84">
      <w:bookmarkStart w:id="0" w:name="_GoBack"/>
      <w:bookmarkEnd w:id="0"/>
    </w:p>
    <w:p w:rsidR="003E4AAB" w:rsidRDefault="003E4AAB"/>
    <w:p w:rsidR="003E4AAB" w:rsidRPr="007537B8" w:rsidRDefault="003E4AAB" w:rsidP="003E4AAB">
      <w:pPr>
        <w:pStyle w:val="Nessunaspaziatura"/>
        <w:jc w:val="both"/>
        <w:rPr>
          <w:rFonts w:cs="Arial"/>
          <w:b/>
          <w:color w:val="002060"/>
          <w:sz w:val="28"/>
          <w:szCs w:val="28"/>
          <w:u w:val="single"/>
        </w:rPr>
      </w:pPr>
      <w:r w:rsidRPr="007537B8">
        <w:rPr>
          <w:rFonts w:cs="Arial"/>
          <w:b/>
          <w:color w:val="002060"/>
          <w:sz w:val="28"/>
          <w:szCs w:val="28"/>
          <w:u w:val="single"/>
        </w:rPr>
        <w:t>PORTAFOGLIO PAGAMENTO ATTIVITA’ REGIONALE E PROVINCIALE</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color w:val="002060"/>
        </w:rPr>
      </w:pPr>
      <w:r w:rsidRPr="007537B8">
        <w:rPr>
          <w:rFonts w:cs="Arial"/>
          <w:color w:val="002060"/>
        </w:rPr>
        <w:t xml:space="preserve">Si comunica che all'interno dell'Area Società è attivo il </w:t>
      </w:r>
      <w:r w:rsidRPr="007537B8">
        <w:rPr>
          <w:rFonts w:cs="Arial"/>
          <w:b/>
          <w:bCs/>
          <w:color w:val="002060"/>
        </w:rPr>
        <w:t>Portafoglio Pagamenti Attività Regionale e Provinciale</w:t>
      </w:r>
      <w:r w:rsidRPr="007537B8">
        <w:rPr>
          <w:rFonts w:cs="Arial"/>
          <w:color w:val="002060"/>
        </w:rPr>
        <w:t xml:space="preserve"> attraverso il quale sarà possibile </w:t>
      </w:r>
      <w:r w:rsidRPr="007537B8">
        <w:rPr>
          <w:rFonts w:cs="Arial"/>
          <w:b/>
          <w:bCs/>
          <w:color w:val="002060"/>
        </w:rPr>
        <w:t>saldare le richieste di iscrizione ai campionati e le richieste di tesseramento calciatori</w:t>
      </w:r>
      <w:r w:rsidRPr="007537B8">
        <w:rPr>
          <w:rFonts w:cs="Arial"/>
          <w:color w:val="002060"/>
        </w:rPr>
        <w:t xml:space="preserve"> – sia di Lega Nazionale Dilettanti che di Settore Giovanile e Scolastico – </w:t>
      </w:r>
      <w:r w:rsidRPr="007537B8">
        <w:rPr>
          <w:rFonts w:cs="Arial"/>
          <w:b/>
          <w:bCs/>
          <w:color w:val="002060"/>
        </w:rPr>
        <w:t>dirigenti e di emissione tessere plastificate</w:t>
      </w:r>
      <w:r w:rsidRPr="007537B8">
        <w:rPr>
          <w:rFonts w:cs="Arial"/>
          <w:color w:val="002060"/>
        </w:rPr>
        <w:t>.</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bCs/>
          <w:color w:val="002060"/>
          <w:u w:val="single"/>
        </w:rPr>
      </w:pPr>
      <w:r w:rsidRPr="007537B8">
        <w:rPr>
          <w:rFonts w:cs="Arial"/>
          <w:b/>
          <w:color w:val="002060"/>
        </w:rPr>
        <w:t xml:space="preserve">La presenza all'interno del portafoglio tesseramenti dei fondi necessari all'approvazione delle pratiche di tesseramento calciatori (sia di Lega Nazionale Dilettanti che di Settore Giovanile e Scolastico) </w:t>
      </w:r>
      <w:r w:rsidRPr="007537B8">
        <w:rPr>
          <w:rFonts w:cs="Arial"/>
          <w:b/>
          <w:bCs/>
          <w:color w:val="002060"/>
        </w:rPr>
        <w:t xml:space="preserve">dirigenti e di emissione tessere plastificate è vincolante: </w:t>
      </w:r>
      <w:r w:rsidRPr="007537B8">
        <w:rPr>
          <w:rFonts w:cs="Arial"/>
          <w:b/>
          <w:bCs/>
          <w:color w:val="002060"/>
          <w:u w:val="single"/>
        </w:rPr>
        <w:t>il sistema infatti, qualora nel portafoglio tesseramenti non siano presenti fondi sufficienti, non permette la stampa delle pratiche.</w:t>
      </w:r>
    </w:p>
    <w:p w:rsidR="003E4AAB" w:rsidRPr="007537B8" w:rsidRDefault="003E4AAB" w:rsidP="003E4AAB">
      <w:pPr>
        <w:pStyle w:val="Nessunaspaziatura"/>
        <w:jc w:val="both"/>
        <w:rPr>
          <w:rFonts w:cs="Arial"/>
          <w:b/>
          <w:i/>
          <w:color w:val="002060"/>
        </w:rPr>
      </w:pPr>
      <w:r w:rsidRPr="007537B8">
        <w:rPr>
          <w:rFonts w:cs="Arial"/>
          <w:b/>
          <w:i/>
          <w:color w:val="002060"/>
        </w:rPr>
        <w:t xml:space="preserve">Alla luce di quanto sopra esposto </w:t>
      </w:r>
      <w:r w:rsidRPr="007537B8">
        <w:rPr>
          <w:rFonts w:cs="Arial"/>
          <w:b/>
          <w:i/>
          <w:color w:val="002060"/>
          <w:u w:val="single"/>
        </w:rPr>
        <w:t>si consigliano vivamente le Società</w:t>
      </w:r>
      <w:r w:rsidRPr="007537B8">
        <w:rPr>
          <w:rFonts w:cs="Arial"/>
          <w:b/>
          <w:i/>
          <w:color w:val="002060"/>
        </w:rPr>
        <w:t xml:space="preserve">, soprattutto per quanto concerne i </w:t>
      </w:r>
      <w:r w:rsidRPr="007537B8">
        <w:rPr>
          <w:rFonts w:cs="Arial"/>
          <w:b/>
          <w:i/>
          <w:color w:val="002060"/>
          <w:u w:val="single"/>
        </w:rPr>
        <w:t>tesseramenti</w:t>
      </w:r>
      <w:r w:rsidRPr="007537B8">
        <w:rPr>
          <w:rFonts w:cs="Arial"/>
          <w:b/>
          <w:i/>
          <w:color w:val="002060"/>
        </w:rPr>
        <w:t xml:space="preserve">, </w:t>
      </w:r>
      <w:r w:rsidRPr="007537B8">
        <w:rPr>
          <w:rFonts w:cs="Arial"/>
          <w:b/>
          <w:i/>
          <w:color w:val="002060"/>
          <w:u w:val="single"/>
        </w:rPr>
        <w:t>di creare un fondo cassa nel portafoglio tesseramenti</w:t>
      </w:r>
      <w:r w:rsidRPr="007537B8">
        <w:rPr>
          <w:rFonts w:cs="Arial"/>
          <w:b/>
          <w:i/>
          <w:color w:val="002060"/>
        </w:rPr>
        <w:t xml:space="preserve"> al fine di permettere la tempestiva stampa delle richieste di tesseramento calciatori, dirigenti e di emissione tessere plastificate. </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color w:val="002060"/>
        </w:rPr>
      </w:pPr>
      <w:r w:rsidRPr="007537B8">
        <w:rPr>
          <w:rFonts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7537B8">
        <w:rPr>
          <w:rFonts w:cs="Arial"/>
          <w:color w:val="002060"/>
        </w:rPr>
        <w:t>.</w:t>
      </w:r>
    </w:p>
    <w:p w:rsidR="003E4AAB" w:rsidRPr="007537B8" w:rsidRDefault="003E4AAB" w:rsidP="003E4AAB">
      <w:pPr>
        <w:pStyle w:val="Nessunaspaziatura"/>
        <w:jc w:val="both"/>
        <w:rPr>
          <w:rFonts w:cs="Arial"/>
          <w:color w:val="002060"/>
        </w:rPr>
      </w:pPr>
      <w:r w:rsidRPr="007537B8">
        <w:rPr>
          <w:rFonts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3E4AAB" w:rsidRPr="007537B8" w:rsidRDefault="003E4AAB" w:rsidP="003E4AAB">
      <w:pPr>
        <w:pStyle w:val="Nessunaspaziatura"/>
        <w:jc w:val="both"/>
        <w:rPr>
          <w:rFonts w:cs="Arial"/>
          <w:color w:val="002060"/>
        </w:rPr>
      </w:pPr>
      <w:r w:rsidRPr="007537B8">
        <w:rPr>
          <w:rFonts w:cs="Arial"/>
          <w:color w:val="002060"/>
        </w:rPr>
        <w:t xml:space="preserve">Tale servizio è accessibile tramite l'omonima area funzionale all'interno dell'Area Società ed è utilizzabile secondo la seguente procedura. </w:t>
      </w:r>
    </w:p>
    <w:p w:rsidR="003E4AAB" w:rsidRPr="007537B8" w:rsidRDefault="003E4AAB" w:rsidP="003E4AAB">
      <w:pPr>
        <w:pStyle w:val="Nessunaspaziatura"/>
        <w:jc w:val="both"/>
        <w:rPr>
          <w:rFonts w:cs="Arial"/>
          <w:color w:val="002060"/>
        </w:rPr>
      </w:pPr>
    </w:p>
    <w:p w:rsidR="003E4AAB" w:rsidRDefault="003E4AAB" w:rsidP="003E4AAB">
      <w:pPr>
        <w:pStyle w:val="Nessunaspaziatura"/>
        <w:jc w:val="both"/>
        <w:rPr>
          <w:rFonts w:cs="Arial"/>
          <w:b/>
          <w:bCs/>
          <w:color w:val="002060"/>
          <w:u w:val="single"/>
        </w:rPr>
      </w:pPr>
    </w:p>
    <w:p w:rsidR="003E4AAB" w:rsidRPr="007537B8" w:rsidRDefault="003E4AAB" w:rsidP="003E4AAB">
      <w:pPr>
        <w:pStyle w:val="Nessunaspaziatura"/>
        <w:jc w:val="both"/>
        <w:rPr>
          <w:rFonts w:cs="Arial"/>
          <w:b/>
          <w:bCs/>
          <w:color w:val="002060"/>
          <w:u w:val="single"/>
        </w:rPr>
      </w:pPr>
      <w:r w:rsidRPr="007537B8">
        <w:rPr>
          <w:rFonts w:cs="Arial"/>
          <w:b/>
          <w:bCs/>
          <w:color w:val="002060"/>
          <w:u w:val="single"/>
        </w:rPr>
        <w:t>MODALITA’ DI RICARICA PORTAFOGLIO</w:t>
      </w:r>
    </w:p>
    <w:p w:rsidR="003E4AAB" w:rsidRPr="007537B8" w:rsidRDefault="003E4AAB" w:rsidP="003E4AAB">
      <w:pPr>
        <w:pStyle w:val="Nessunaspaziatura"/>
        <w:jc w:val="both"/>
        <w:rPr>
          <w:rFonts w:cs="Arial"/>
          <w:color w:val="002060"/>
        </w:rPr>
      </w:pPr>
      <w:r w:rsidRPr="007537B8">
        <w:rPr>
          <w:rFonts w:cs="Arial"/>
          <w:color w:val="002060"/>
        </w:rPr>
        <w:t>Una volta effettuato il bonifico al Comitato Regionale Marche: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cliccare "Inserimento richiesta di ricarica Portafoglio" nel menu "Portafoglio Pag. attività Regionale e Provinciale";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selezionare "Ricarica" nel menu a tendina "Tipo Operazione";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scegliere se ricaricare il "portafoglio ISCRIZIONI" o il "Portafoglio Tesser. e Altro" nel menu a tendina "Portafoglio Destinazione";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selezionare una delle seguenti opzioni nel menu a tendina "Modalità di pagamento":</w:t>
      </w:r>
    </w:p>
    <w:p w:rsidR="003E4AAB" w:rsidRPr="007537B8" w:rsidRDefault="003E4AAB" w:rsidP="003E4AAB">
      <w:pPr>
        <w:pStyle w:val="Nessunaspaziatura"/>
        <w:numPr>
          <w:ilvl w:val="1"/>
          <w:numId w:val="1"/>
        </w:numPr>
        <w:jc w:val="both"/>
        <w:rPr>
          <w:rFonts w:cs="Arial"/>
          <w:color w:val="002060"/>
        </w:rPr>
      </w:pPr>
      <w:r w:rsidRPr="007537B8">
        <w:rPr>
          <w:rFonts w:cs="Arial"/>
          <w:color w:val="002060"/>
        </w:rPr>
        <w:t>“Bonifico Bancario”</w:t>
      </w:r>
    </w:p>
    <w:p w:rsidR="003E4AAB" w:rsidRPr="007537B8" w:rsidRDefault="003E4AAB" w:rsidP="003E4AAB">
      <w:pPr>
        <w:pStyle w:val="Nessunaspaziatura"/>
        <w:numPr>
          <w:ilvl w:val="1"/>
          <w:numId w:val="1"/>
        </w:numPr>
        <w:jc w:val="both"/>
        <w:rPr>
          <w:rFonts w:cs="Arial"/>
          <w:color w:val="002060"/>
        </w:rPr>
      </w:pPr>
      <w:r w:rsidRPr="007537B8">
        <w:rPr>
          <w:rFonts w:cs="Arial"/>
          <w:color w:val="002060"/>
        </w:rPr>
        <w:t xml:space="preserve">“Carta di Credito, </w:t>
      </w:r>
      <w:proofErr w:type="spellStart"/>
      <w:r w:rsidRPr="007537B8">
        <w:rPr>
          <w:rFonts w:cs="Arial"/>
          <w:color w:val="002060"/>
        </w:rPr>
        <w:t>Mybank</w:t>
      </w:r>
      <w:proofErr w:type="spellEnd"/>
      <w:r w:rsidRPr="007537B8">
        <w:rPr>
          <w:rFonts w:cs="Arial"/>
          <w:color w:val="002060"/>
        </w:rPr>
        <w:t xml:space="preserve">, </w:t>
      </w:r>
      <w:proofErr w:type="spellStart"/>
      <w:r w:rsidRPr="007537B8">
        <w:rPr>
          <w:rFonts w:cs="Arial"/>
          <w:color w:val="002060"/>
        </w:rPr>
        <w:t>ecc</w:t>
      </w:r>
      <w:proofErr w:type="spellEnd"/>
      <w:r w:rsidRPr="007537B8">
        <w:rPr>
          <w:rFonts w:cs="Arial"/>
          <w:color w:val="002060"/>
        </w:rPr>
        <w:t>”</w:t>
      </w:r>
    </w:p>
    <w:p w:rsidR="003E4AAB" w:rsidRPr="007537B8" w:rsidRDefault="003E4AAB" w:rsidP="003E4AAB">
      <w:pPr>
        <w:pStyle w:val="Nessunaspaziatura"/>
        <w:numPr>
          <w:ilvl w:val="1"/>
          <w:numId w:val="1"/>
        </w:numPr>
        <w:jc w:val="both"/>
        <w:rPr>
          <w:rFonts w:cs="Arial"/>
          <w:color w:val="002060"/>
        </w:rPr>
      </w:pPr>
      <w:r w:rsidRPr="007537B8">
        <w:rPr>
          <w:rFonts w:cs="Arial"/>
          <w:color w:val="002060"/>
        </w:rPr>
        <w:t>“</w:t>
      </w:r>
      <w:proofErr w:type="spellStart"/>
      <w:r w:rsidRPr="007537B8">
        <w:rPr>
          <w:rFonts w:cs="Arial"/>
          <w:color w:val="002060"/>
        </w:rPr>
        <w:t>Mav</w:t>
      </w:r>
      <w:proofErr w:type="spellEnd"/>
      <w:r w:rsidRPr="007537B8">
        <w:rPr>
          <w:rFonts w:cs="Arial"/>
          <w:color w:val="002060"/>
        </w:rPr>
        <w:t xml:space="preserve"> light bancario”</w:t>
      </w:r>
    </w:p>
    <w:p w:rsidR="003E4AAB" w:rsidRPr="007537B8" w:rsidRDefault="003E4AAB" w:rsidP="003E4AAB">
      <w:pPr>
        <w:pStyle w:val="Nessunaspaziatura"/>
        <w:numPr>
          <w:ilvl w:val="1"/>
          <w:numId w:val="1"/>
        </w:numPr>
        <w:jc w:val="both"/>
        <w:rPr>
          <w:rFonts w:cs="Arial"/>
          <w:color w:val="002060"/>
        </w:rPr>
      </w:pPr>
      <w:r w:rsidRPr="007537B8">
        <w:rPr>
          <w:rFonts w:cs="Arial"/>
          <w:color w:val="002060"/>
        </w:rPr>
        <w:t>“</w:t>
      </w:r>
      <w:proofErr w:type="spellStart"/>
      <w:r w:rsidRPr="007537B8">
        <w:rPr>
          <w:rFonts w:cs="Arial"/>
          <w:color w:val="002060"/>
        </w:rPr>
        <w:t>Mav</w:t>
      </w:r>
      <w:proofErr w:type="spellEnd"/>
      <w:r w:rsidRPr="007537B8">
        <w:rPr>
          <w:rFonts w:cs="Arial"/>
          <w:color w:val="002060"/>
        </w:rPr>
        <w:t xml:space="preserve"> light </w:t>
      </w:r>
      <w:proofErr w:type="spellStart"/>
      <w:r w:rsidRPr="007537B8">
        <w:rPr>
          <w:rFonts w:cs="Arial"/>
          <w:color w:val="002060"/>
        </w:rPr>
        <w:t>SisalPay</w:t>
      </w:r>
      <w:proofErr w:type="spellEnd"/>
      <w:r w:rsidRPr="007537B8">
        <w:rPr>
          <w:rFonts w:cs="Arial"/>
          <w:color w:val="002060"/>
        </w:rPr>
        <w:t>”</w:t>
      </w:r>
    </w:p>
    <w:p w:rsidR="003E4AAB" w:rsidRPr="007537B8" w:rsidRDefault="003E4AAB" w:rsidP="003E4AAB">
      <w:pPr>
        <w:pStyle w:val="Nessunaspaziatura"/>
        <w:ind w:left="1440"/>
        <w:jc w:val="both"/>
        <w:rPr>
          <w:rFonts w:cs="Arial"/>
          <w:color w:val="002060"/>
        </w:rPr>
      </w:pPr>
    </w:p>
    <w:p w:rsidR="003E4AAB" w:rsidRPr="007537B8" w:rsidRDefault="003E4AAB" w:rsidP="003E4AAB">
      <w:pPr>
        <w:pStyle w:val="Nessunaspaziatura"/>
        <w:jc w:val="both"/>
        <w:rPr>
          <w:rFonts w:cs="Arial"/>
          <w:b/>
          <w:color w:val="002060"/>
          <w:u w:val="single"/>
        </w:rPr>
      </w:pPr>
      <w:r w:rsidRPr="007537B8">
        <w:rPr>
          <w:rFonts w:cs="Arial"/>
          <w:b/>
          <w:color w:val="002060"/>
          <w:u w:val="single"/>
        </w:rPr>
        <w:t>PROCEDURA DI RICARICA CON PAGAMENTO EFFETTUATO A MEZZO “BONIFICO BANCARIO”</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il CRO del bonifico effettuato, oppure in caso di mancanza inserire “0”, l'ABI ed il CAB del proprio istituto di credito;</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l’importo del bonifico effettuato;</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caricare la contabile dell'avvenuto bonifico cliccando il pulsante "Aggiungi documento allegato" (facoltativo);</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salvare definitivo.</w:t>
      </w:r>
    </w:p>
    <w:p w:rsidR="003E4AAB" w:rsidRPr="007537B8" w:rsidRDefault="003E4AAB" w:rsidP="003E4AAB">
      <w:pPr>
        <w:pStyle w:val="Nessunaspaziatura"/>
        <w:jc w:val="both"/>
        <w:rPr>
          <w:rFonts w:cs="Arial"/>
          <w:color w:val="002060"/>
        </w:rPr>
      </w:pPr>
      <w:r w:rsidRPr="007537B8">
        <w:rPr>
          <w:rFonts w:cs="Arial"/>
          <w:color w:val="002060"/>
        </w:rPr>
        <w:t>Quando il bonifico sarà accreditato nel conto corrente del Comitato Regionale, questo provvederà all'approvazione della richiesta di ricarica.</w:t>
      </w:r>
    </w:p>
    <w:p w:rsidR="003E4AAB" w:rsidRPr="007537B8" w:rsidRDefault="003E4AAB" w:rsidP="003E4AAB">
      <w:pPr>
        <w:pStyle w:val="Nessunaspaziatura"/>
        <w:jc w:val="both"/>
        <w:rPr>
          <w:rFonts w:cs="Arial"/>
          <w:color w:val="002060"/>
        </w:rPr>
      </w:pPr>
      <w:r w:rsidRPr="007537B8">
        <w:rPr>
          <w:rFonts w:cs="Arial"/>
          <w:color w:val="002060"/>
        </w:rPr>
        <w:t>L'approvazione o il rifiuto della richiesta di ricarica è consultabile alla voce "Elenco richieste di ricarica Portafoglio" all'interno del sottomenu "Gestione ricariche Portafoglio Pagamenti".</w:t>
      </w:r>
    </w:p>
    <w:p w:rsidR="003E4AAB" w:rsidRPr="007537B8" w:rsidRDefault="003E4AAB" w:rsidP="003E4AAB">
      <w:pPr>
        <w:pStyle w:val="Nessunaspaziatura"/>
        <w:jc w:val="both"/>
        <w:rPr>
          <w:rFonts w:cs="Arial"/>
          <w:color w:val="002060"/>
        </w:rPr>
      </w:pPr>
    </w:p>
    <w:p w:rsidR="003E4AAB" w:rsidRDefault="003E4AAB" w:rsidP="003E4AAB">
      <w:pPr>
        <w:pStyle w:val="Nessunaspaziatura"/>
        <w:jc w:val="both"/>
        <w:rPr>
          <w:rFonts w:cs="Arial"/>
          <w:b/>
          <w:bCs/>
          <w:color w:val="002060"/>
          <w:u w:val="single"/>
        </w:rPr>
      </w:pPr>
    </w:p>
    <w:p w:rsidR="003E4AAB" w:rsidRDefault="003E4AAB" w:rsidP="003E4AAB">
      <w:pPr>
        <w:pStyle w:val="Nessunaspaziatura"/>
        <w:jc w:val="both"/>
        <w:rPr>
          <w:rFonts w:cs="Arial"/>
          <w:b/>
          <w:bCs/>
          <w:color w:val="002060"/>
          <w:u w:val="single"/>
        </w:rPr>
      </w:pPr>
    </w:p>
    <w:p w:rsidR="003E4AAB" w:rsidRDefault="003E4AAB" w:rsidP="003E4AAB">
      <w:pPr>
        <w:pStyle w:val="Nessunaspaziatura"/>
        <w:jc w:val="both"/>
        <w:rPr>
          <w:rFonts w:cs="Arial"/>
          <w:b/>
          <w:bCs/>
          <w:color w:val="002060"/>
          <w:u w:val="single"/>
        </w:rPr>
      </w:pPr>
    </w:p>
    <w:p w:rsidR="003E4AAB" w:rsidRPr="007537B8" w:rsidRDefault="003E4AAB" w:rsidP="003E4AAB">
      <w:pPr>
        <w:pStyle w:val="Nessunaspaziatura"/>
        <w:jc w:val="both"/>
        <w:rPr>
          <w:rFonts w:cs="Arial"/>
          <w:b/>
          <w:bCs/>
          <w:color w:val="002060"/>
          <w:u w:val="single"/>
        </w:rPr>
      </w:pPr>
      <w:r w:rsidRPr="007537B8">
        <w:rPr>
          <w:rFonts w:cs="Arial"/>
          <w:b/>
          <w:bCs/>
          <w:color w:val="002060"/>
          <w:u w:val="single"/>
        </w:rPr>
        <w:t>MODALITA’ EFFETTUAZIONE BONIFICO BANCARIO</w:t>
      </w:r>
    </w:p>
    <w:p w:rsidR="003E4AAB" w:rsidRPr="007537B8" w:rsidRDefault="003E4AAB" w:rsidP="003E4AAB">
      <w:pPr>
        <w:pStyle w:val="Nessunaspaziatura"/>
        <w:jc w:val="both"/>
        <w:rPr>
          <w:rFonts w:cs="Arial"/>
          <w:color w:val="002060"/>
        </w:rPr>
      </w:pPr>
      <w:r w:rsidRPr="007537B8">
        <w:rPr>
          <w:rFonts w:cs="Arial"/>
          <w:color w:val="002060"/>
        </w:rPr>
        <w:t xml:space="preserve">In fase di </w:t>
      </w:r>
      <w:r w:rsidRPr="007537B8">
        <w:rPr>
          <w:rFonts w:cs="Arial"/>
          <w:b/>
          <w:color w:val="002060"/>
        </w:rPr>
        <w:t>esecuzione di un bonifico bancario</w:t>
      </w:r>
      <w:r w:rsidRPr="007537B8">
        <w:rPr>
          <w:rFonts w:cs="Arial"/>
          <w:color w:val="002060"/>
        </w:rPr>
        <w:t xml:space="preserve"> nei confronti del Comitato Regionale Marche si raccomanda di </w:t>
      </w:r>
      <w:r w:rsidRPr="007537B8">
        <w:rPr>
          <w:rFonts w:cs="Arial"/>
          <w:b/>
          <w:color w:val="002060"/>
          <w:u w:val="single"/>
        </w:rPr>
        <w:t>INSERIRE SEMPRE NELLA CAUSALE LA MATRICOLA E LA DENOMINAZIONE SOCIETARIA</w:t>
      </w:r>
      <w:r w:rsidRPr="007537B8">
        <w:rPr>
          <w:rFonts w:cs="Arial"/>
          <w:color w:val="002060"/>
        </w:rPr>
        <w:t xml:space="preserve">. </w:t>
      </w:r>
    </w:p>
    <w:p w:rsidR="003E4AAB" w:rsidRPr="007537B8" w:rsidRDefault="003E4AAB" w:rsidP="003E4AAB">
      <w:pPr>
        <w:pStyle w:val="Nessunaspaziatura"/>
        <w:jc w:val="both"/>
        <w:rPr>
          <w:rFonts w:cs="Arial"/>
          <w:color w:val="002060"/>
        </w:rPr>
      </w:pPr>
      <w:r w:rsidRPr="007537B8">
        <w:rPr>
          <w:rFonts w:cs="Arial"/>
          <w:color w:val="002060"/>
        </w:rPr>
        <w:t>La mancata indicazione dei suddetti dati comporta infatti un elevato rallentamento nell’accredito dell’importo nel conto societario e, di conseguenza, preclude la possibilità di ricarica del portafoglio.</w:t>
      </w:r>
    </w:p>
    <w:p w:rsidR="003E4AAB" w:rsidRPr="007537B8" w:rsidRDefault="003E4AAB" w:rsidP="003E4AAB">
      <w:pPr>
        <w:pStyle w:val="Nessunaspaziatura"/>
        <w:ind w:left="709"/>
        <w:jc w:val="both"/>
        <w:rPr>
          <w:rFonts w:cs="Arial"/>
          <w:color w:val="002060"/>
        </w:rPr>
      </w:pPr>
    </w:p>
    <w:p w:rsidR="003E4AAB" w:rsidRPr="007537B8" w:rsidRDefault="003E4AAB" w:rsidP="003E4AAB">
      <w:pPr>
        <w:pStyle w:val="Nessunaspaziatura"/>
        <w:jc w:val="both"/>
        <w:rPr>
          <w:rFonts w:cs="Arial"/>
          <w:color w:val="002060"/>
        </w:rPr>
      </w:pPr>
      <w:r w:rsidRPr="007537B8">
        <w:rPr>
          <w:rFonts w:cs="Arial"/>
          <w:b/>
          <w:color w:val="002060"/>
          <w:u w:val="single"/>
        </w:rPr>
        <w:t>Si raccomanda inoltre di effettuare la richiesta di ricarica del portafoglio lo stesso giorno in cui viene eseguito il bonifico bancario</w:t>
      </w:r>
      <w:r w:rsidRPr="007537B8">
        <w:rPr>
          <w:rFonts w:cs="Arial"/>
          <w:color w:val="002060"/>
        </w:rPr>
        <w:t xml:space="preserve">. Infatti, </w:t>
      </w:r>
      <w:r w:rsidRPr="007537B8">
        <w:rPr>
          <w:rFonts w:cs="Arial"/>
          <w:color w:val="002060"/>
          <w:u w:val="single"/>
        </w:rPr>
        <w:t>qualora la richiesta di ricarica venisse effettuata nei giorni precedenti o successivi, la richiesta di ricarica non potrà essere accettata</w:t>
      </w:r>
      <w:r w:rsidRPr="007537B8">
        <w:rPr>
          <w:rFonts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3E4AAB" w:rsidRPr="007537B8" w:rsidRDefault="003E4AAB" w:rsidP="003E4AAB">
      <w:pPr>
        <w:pStyle w:val="Nessunaspaziatura"/>
        <w:ind w:left="709"/>
        <w:jc w:val="both"/>
        <w:rPr>
          <w:rFonts w:cs="Arial"/>
          <w:color w:val="002060"/>
        </w:rPr>
      </w:pPr>
    </w:p>
    <w:p w:rsidR="003E4AAB" w:rsidRPr="007537B8" w:rsidRDefault="003E4AAB" w:rsidP="003E4AAB">
      <w:pPr>
        <w:pStyle w:val="Nessunaspaziatura"/>
        <w:jc w:val="both"/>
        <w:rPr>
          <w:rFonts w:cs="Arial"/>
          <w:b/>
          <w:i/>
          <w:color w:val="002060"/>
        </w:rPr>
      </w:pPr>
      <w:r w:rsidRPr="007537B8">
        <w:rPr>
          <w:rFonts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color w:val="002060"/>
          <w:u w:val="single"/>
        </w:rPr>
      </w:pPr>
      <w:r w:rsidRPr="007537B8">
        <w:rPr>
          <w:rFonts w:cs="Arial"/>
          <w:b/>
          <w:color w:val="002060"/>
          <w:u w:val="single"/>
        </w:rPr>
        <w:t>PROCEDURA DI RICARICA CON PAGAMENTO EFFETTUATO A MEZZO “CARTA DI CREDITO, MYBANK, ECC.”</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l’indirizzo e-mail al quale sarà inviata la ricevuta della transazione POS;</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l’importo che si vuole ricaricare;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cliccare “salva e paga”;</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7537B8">
        <w:rPr>
          <w:rFonts w:cs="Arial"/>
          <w:color w:val="002060"/>
        </w:rPr>
        <w:t>MyBank</w:t>
      </w:r>
      <w:proofErr w:type="spellEnd"/>
      <w:r w:rsidRPr="007537B8">
        <w:rPr>
          <w:rFonts w:cs="Arial"/>
          <w:color w:val="002060"/>
        </w:rPr>
        <w:t>”*;</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 xml:space="preserve">effettuata la transazione, il sistema emetterà la ricevuta POS che sarà inviata all’indirizzo e-mail comunicato in precedenza. </w:t>
      </w:r>
    </w:p>
    <w:p w:rsidR="003E4AAB" w:rsidRPr="007537B8" w:rsidRDefault="003E4AAB" w:rsidP="003E4AAB">
      <w:pPr>
        <w:pStyle w:val="Nessunaspaziatura"/>
        <w:ind w:left="720"/>
        <w:jc w:val="both"/>
        <w:rPr>
          <w:rFonts w:cs="Arial"/>
          <w:color w:val="002060"/>
        </w:rPr>
      </w:pPr>
    </w:p>
    <w:p w:rsidR="003E4AAB" w:rsidRPr="007537B8" w:rsidRDefault="003E4AAB" w:rsidP="003E4AAB">
      <w:pPr>
        <w:pStyle w:val="Nessunaspaziatura"/>
        <w:ind w:left="720"/>
        <w:jc w:val="both"/>
        <w:rPr>
          <w:rFonts w:cs="Arial"/>
          <w:i/>
          <w:color w:val="002060"/>
        </w:rPr>
      </w:pPr>
      <w:r w:rsidRPr="007537B8">
        <w:rPr>
          <w:rFonts w:cs="Arial"/>
          <w:i/>
          <w:color w:val="002060"/>
        </w:rPr>
        <w:t xml:space="preserve">* il </w:t>
      </w:r>
      <w:proofErr w:type="spellStart"/>
      <w:r w:rsidRPr="007537B8">
        <w:rPr>
          <w:rFonts w:cs="Arial"/>
          <w:i/>
          <w:color w:val="002060"/>
        </w:rPr>
        <w:t>MyBank</w:t>
      </w:r>
      <w:proofErr w:type="spellEnd"/>
      <w:r w:rsidRPr="007537B8">
        <w:rPr>
          <w:rFonts w:cs="Arial"/>
          <w:i/>
          <w:color w:val="002060"/>
        </w:rPr>
        <w:t xml:space="preserve"> è una soluzione di autorizzazione elettronica che consente ai consumatori </w:t>
      </w:r>
      <w:r w:rsidRPr="007537B8">
        <w:rPr>
          <w:rFonts w:cs="Arial"/>
          <w:i/>
          <w:color w:val="002060"/>
        </w:rPr>
        <w:br/>
        <w:t xml:space="preserve">di effettuare in modo sicuro pagamenti online e autenticazioni dell’identità </w:t>
      </w:r>
      <w:r w:rsidRPr="007537B8">
        <w:rPr>
          <w:rFonts w:cs="Arial"/>
          <w:i/>
          <w:color w:val="002060"/>
        </w:rPr>
        <w:br/>
        <w:t>digitale usando il servizio di online banking delle propria banca o un’</w:t>
      </w:r>
      <w:proofErr w:type="spellStart"/>
      <w:r w:rsidRPr="007537B8">
        <w:rPr>
          <w:rFonts w:cs="Arial"/>
          <w:i/>
          <w:color w:val="002060"/>
        </w:rPr>
        <w:t>app</w:t>
      </w:r>
      <w:proofErr w:type="spellEnd"/>
      <w:r w:rsidRPr="007537B8">
        <w:rPr>
          <w:rFonts w:cs="Arial"/>
          <w:i/>
          <w:color w:val="002060"/>
        </w:rPr>
        <w:t xml:space="preserve"> da </w:t>
      </w:r>
      <w:r w:rsidRPr="007537B8">
        <w:rPr>
          <w:rFonts w:cs="Arial"/>
          <w:i/>
          <w:color w:val="002060"/>
        </w:rPr>
        <w:br/>
      </w:r>
      <w:proofErr w:type="spellStart"/>
      <w:r w:rsidRPr="007537B8">
        <w:rPr>
          <w:rFonts w:cs="Arial"/>
          <w:i/>
          <w:color w:val="002060"/>
        </w:rPr>
        <w:t>smartphone</w:t>
      </w:r>
      <w:proofErr w:type="spellEnd"/>
      <w:r w:rsidRPr="007537B8">
        <w:rPr>
          <w:rFonts w:cs="Arial"/>
          <w:i/>
          <w:color w:val="002060"/>
        </w:rPr>
        <w:t xml:space="preserve"> o </w:t>
      </w:r>
      <w:proofErr w:type="spellStart"/>
      <w:r w:rsidRPr="007537B8">
        <w:rPr>
          <w:rFonts w:cs="Arial"/>
          <w:i/>
          <w:color w:val="002060"/>
        </w:rPr>
        <w:t>tablet</w:t>
      </w:r>
      <w:proofErr w:type="spellEnd"/>
      <w:r w:rsidRPr="007537B8">
        <w:rPr>
          <w:rFonts w:cs="Arial"/>
          <w:i/>
          <w:color w:val="002060"/>
        </w:rPr>
        <w:t>.</w:t>
      </w:r>
    </w:p>
    <w:p w:rsidR="003E4AAB" w:rsidRPr="007537B8" w:rsidRDefault="003E4AAB" w:rsidP="003E4AAB">
      <w:pPr>
        <w:pStyle w:val="Nessunaspaziatura"/>
        <w:ind w:left="720"/>
        <w:jc w:val="both"/>
        <w:rPr>
          <w:rFonts w:cs="Arial"/>
          <w:i/>
          <w:color w:val="002060"/>
        </w:rPr>
      </w:pPr>
      <w:r w:rsidRPr="007537B8">
        <w:rPr>
          <w:rFonts w:cs="Arial"/>
          <w:i/>
          <w:color w:val="002060"/>
        </w:rPr>
        <w:t xml:space="preserve">Ad oggi più di 250 Banche e fornitori di servizi di pagamento hanno aderito al </w:t>
      </w:r>
      <w:r w:rsidRPr="007537B8">
        <w:rPr>
          <w:rFonts w:cs="Arial"/>
          <w:i/>
          <w:color w:val="002060"/>
        </w:rPr>
        <w:br/>
        <w:t xml:space="preserve">circuito </w:t>
      </w:r>
      <w:proofErr w:type="spellStart"/>
      <w:r w:rsidRPr="007537B8">
        <w:rPr>
          <w:rFonts w:cs="Arial"/>
          <w:i/>
          <w:color w:val="002060"/>
        </w:rPr>
        <w:t>MyBank</w:t>
      </w:r>
      <w:proofErr w:type="spellEnd"/>
      <w:r w:rsidRPr="007537B8">
        <w:rPr>
          <w:rFonts w:cs="Arial"/>
          <w:i/>
          <w:color w:val="002060"/>
        </w:rPr>
        <w:t xml:space="preserve"> in tutta Europa.</w:t>
      </w:r>
    </w:p>
    <w:p w:rsidR="003E4AAB" w:rsidRPr="007537B8" w:rsidRDefault="003E4AAB" w:rsidP="003E4AAB">
      <w:pPr>
        <w:pStyle w:val="Nessunaspaziatura"/>
        <w:ind w:left="720"/>
        <w:jc w:val="both"/>
        <w:rPr>
          <w:rFonts w:cs="Arial"/>
          <w:i/>
          <w:color w:val="002060"/>
        </w:rPr>
      </w:pPr>
      <w:r w:rsidRPr="007537B8">
        <w:rPr>
          <w:rFonts w:cs="Arial"/>
          <w:i/>
          <w:color w:val="002060"/>
        </w:rPr>
        <w:t xml:space="preserve">La lista </w:t>
      </w:r>
      <w:proofErr w:type="spellStart"/>
      <w:r w:rsidRPr="007537B8">
        <w:rPr>
          <w:rFonts w:cs="Arial"/>
          <w:i/>
          <w:color w:val="002060"/>
        </w:rPr>
        <w:t>e'</w:t>
      </w:r>
      <w:proofErr w:type="spellEnd"/>
      <w:r w:rsidRPr="007537B8">
        <w:rPr>
          <w:rFonts w:cs="Arial"/>
          <w:i/>
          <w:color w:val="002060"/>
        </w:rPr>
        <w:t xml:space="preserve"> consultabile alla pagina web </w:t>
      </w:r>
      <w:hyperlink r:id="rId6" w:history="1">
        <w:r w:rsidRPr="007537B8">
          <w:rPr>
            <w:rStyle w:val="Collegamentoipertestuale"/>
            <w:rFonts w:cs="Arial"/>
            <w:i/>
            <w:color w:val="002060"/>
          </w:rPr>
          <w:t>https://www.mybank.eu/it/mybank/banche-e-psp-aderenti/</w:t>
        </w:r>
      </w:hyperlink>
    </w:p>
    <w:p w:rsidR="003E4AAB" w:rsidRPr="007537B8" w:rsidRDefault="003E4AAB" w:rsidP="003E4AAB">
      <w:pPr>
        <w:pStyle w:val="Nessunaspaziatura"/>
        <w:ind w:left="720"/>
        <w:jc w:val="both"/>
        <w:rPr>
          <w:rFonts w:cs="Arial"/>
          <w:color w:val="002060"/>
        </w:rPr>
      </w:pPr>
    </w:p>
    <w:p w:rsidR="003E4AAB" w:rsidRPr="007537B8" w:rsidRDefault="003E4AAB" w:rsidP="003E4AAB">
      <w:pPr>
        <w:pStyle w:val="Nessunaspaziatura"/>
        <w:jc w:val="both"/>
        <w:rPr>
          <w:rFonts w:cs="Arial"/>
          <w:b/>
          <w:i/>
          <w:color w:val="002060"/>
        </w:rPr>
      </w:pPr>
      <w:r w:rsidRPr="007537B8">
        <w:rPr>
          <w:rFonts w:cs="Arial"/>
          <w:b/>
          <w:i/>
          <w:color w:val="002060"/>
        </w:rPr>
        <w:t>N.B.: questa modalità di pagamento permette l’</w:t>
      </w:r>
      <w:r w:rsidRPr="007537B8">
        <w:rPr>
          <w:rFonts w:cs="Arial"/>
          <w:b/>
          <w:i/>
          <w:color w:val="002060"/>
          <w:u w:val="single"/>
        </w:rPr>
        <w:t xml:space="preserve">accredito immediato </w:t>
      </w:r>
      <w:r w:rsidRPr="007537B8">
        <w:rPr>
          <w:rFonts w:cs="Arial"/>
          <w:b/>
          <w:i/>
          <w:color w:val="002060"/>
        </w:rPr>
        <w:t>nel portafoglio indicato in sede di ricarica dell’importo versato.</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color w:val="002060"/>
          <w:u w:val="single"/>
        </w:rPr>
      </w:pPr>
      <w:r w:rsidRPr="007537B8">
        <w:rPr>
          <w:rFonts w:cs="Arial"/>
          <w:b/>
          <w:color w:val="002060"/>
          <w:u w:val="single"/>
        </w:rPr>
        <w:t>PROCEDURA DI RICARICA CON PAGAMENTO EFFETTUATO A MEZZO “MAV LIGHT BANCARIO”</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l’importo che si vuole ricaricare;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cliccare “salva e stampa”;</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 xml:space="preserve">completando il salvataggio, il sistema emetterà un bollettino MAV da pagare successivamente in banca. </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i/>
          <w:color w:val="002060"/>
        </w:rPr>
      </w:pPr>
      <w:r w:rsidRPr="007537B8">
        <w:rPr>
          <w:rFonts w:cs="Arial"/>
          <w:b/>
          <w:i/>
          <w:color w:val="002060"/>
        </w:rPr>
        <w:t>N.B.: l’accredito dell’importo versato nel portafoglio indicato in sede di ricarica avviene entro 1-2 giorni dal pagamento del MAV.</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color w:val="002060"/>
          <w:u w:val="single"/>
        </w:rPr>
      </w:pPr>
      <w:r w:rsidRPr="007537B8">
        <w:rPr>
          <w:rFonts w:cs="Arial"/>
          <w:b/>
          <w:color w:val="002060"/>
          <w:u w:val="single"/>
        </w:rPr>
        <w:t>PROCEDURA DI RICARICA CON PAGAMENTO EFFETTUATO A MEZZO “MAV LIGHT SISAL PAY”</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l’importo che si vuole ricaricare;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cliccare “salva e stampa”;</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 xml:space="preserve">completando il salvataggio, il sistema emetterà un bollettino MAV da pagare successivamente nei Punti Sisal </w:t>
      </w:r>
      <w:proofErr w:type="spellStart"/>
      <w:r w:rsidRPr="007537B8">
        <w:rPr>
          <w:rFonts w:cs="Arial"/>
          <w:color w:val="002060"/>
        </w:rPr>
        <w:t>Pay</w:t>
      </w:r>
      <w:proofErr w:type="spellEnd"/>
      <w:r w:rsidRPr="007537B8">
        <w:rPr>
          <w:rFonts w:cs="Arial"/>
          <w:color w:val="002060"/>
        </w:rPr>
        <w:t xml:space="preserve"> (ricevitorie, bar, tabacchi ed edicole). </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i/>
          <w:color w:val="002060"/>
        </w:rPr>
      </w:pPr>
      <w:r w:rsidRPr="007537B8">
        <w:rPr>
          <w:rFonts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7537B8">
        <w:rPr>
          <w:rFonts w:cs="Arial"/>
          <w:i/>
          <w:color w:val="002060"/>
        </w:rPr>
        <w:t>PagoBancomat</w:t>
      </w:r>
      <w:proofErr w:type="spellEnd"/>
      <w:r w:rsidRPr="007537B8">
        <w:rPr>
          <w:rFonts w:cs="Arial"/>
          <w:i/>
          <w:color w:val="002060"/>
        </w:rPr>
        <w:t xml:space="preserve">, carte di credito e carte prepagate. Per conoscere le condizioni economiche e cercare il Punto </w:t>
      </w:r>
      <w:proofErr w:type="spellStart"/>
      <w:r w:rsidRPr="007537B8">
        <w:rPr>
          <w:rFonts w:cs="Arial"/>
          <w:i/>
          <w:color w:val="002060"/>
        </w:rPr>
        <w:t>SisalPay</w:t>
      </w:r>
      <w:proofErr w:type="spellEnd"/>
      <w:r w:rsidRPr="007537B8">
        <w:rPr>
          <w:rFonts w:cs="Arial"/>
          <w:i/>
          <w:color w:val="002060"/>
        </w:rPr>
        <w:t xml:space="preserve"> più vicino, consultare www.sisalpay.it.</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i/>
          <w:color w:val="002060"/>
        </w:rPr>
      </w:pPr>
      <w:r w:rsidRPr="007537B8">
        <w:rPr>
          <w:rFonts w:cs="Arial"/>
          <w:b/>
          <w:i/>
          <w:color w:val="002060"/>
        </w:rPr>
        <w:t>N.B.: l’accredito dell’importo versato nel portafoglio indicato in sede di ricarica avviene entro 1-2 giorni dal pagamento del MAV.</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color w:val="002060"/>
        </w:rPr>
      </w:pPr>
      <w:r w:rsidRPr="007537B8">
        <w:rPr>
          <w:rFonts w:cs="Arial"/>
          <w:b/>
          <w:color w:val="002060"/>
        </w:rPr>
        <w:t xml:space="preserve">Si consiglia di effettuare il pagamento a mezzo carta di credito </w:t>
      </w:r>
      <w:proofErr w:type="spellStart"/>
      <w:r w:rsidRPr="007537B8">
        <w:rPr>
          <w:rFonts w:cs="Arial"/>
          <w:b/>
          <w:color w:val="002060"/>
        </w:rPr>
        <w:t>MyBank</w:t>
      </w:r>
      <w:proofErr w:type="spellEnd"/>
      <w:r w:rsidRPr="007537B8">
        <w:rPr>
          <w:rFonts w:cs="Arial"/>
          <w:b/>
          <w:color w:val="002060"/>
        </w:rPr>
        <w:t xml:space="preserve"> ecc. o a mezzo MAV in quanto rendono più snella la procedura di approvazione identificando automaticamente in maniera univoca e certa la società che effettua la transazione.</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bCs/>
          <w:color w:val="002060"/>
          <w:u w:val="single"/>
        </w:rPr>
      </w:pPr>
      <w:r w:rsidRPr="007537B8">
        <w:rPr>
          <w:rFonts w:cs="Arial"/>
          <w:b/>
          <w:bCs/>
          <w:color w:val="002060"/>
          <w:u w:val="single"/>
        </w:rPr>
        <w:t>SALDO PORTAFOGLI</w:t>
      </w:r>
    </w:p>
    <w:p w:rsidR="003E4AAB" w:rsidRPr="007537B8" w:rsidRDefault="003E4AAB" w:rsidP="003E4AAB">
      <w:pPr>
        <w:pStyle w:val="Nessunaspaziatura"/>
        <w:jc w:val="both"/>
        <w:rPr>
          <w:rFonts w:cs="Arial"/>
          <w:color w:val="002060"/>
        </w:rPr>
      </w:pPr>
      <w:r w:rsidRPr="007537B8">
        <w:rPr>
          <w:rFonts w:cs="Arial"/>
          <w:color w:val="002060"/>
        </w:rPr>
        <w:t xml:space="preserve">Il </w:t>
      </w:r>
      <w:r w:rsidRPr="007537B8">
        <w:rPr>
          <w:rFonts w:cs="Arial"/>
          <w:b/>
          <w:bCs/>
          <w:color w:val="002060"/>
        </w:rPr>
        <w:t xml:space="preserve">saldo portafogli </w:t>
      </w:r>
      <w:r w:rsidRPr="007537B8">
        <w:rPr>
          <w:rFonts w:cs="Arial"/>
          <w:color w:val="002060"/>
        </w:rPr>
        <w:t>è consultabile in tempo reale in ognuna delle voci contenute nel menu "Portafoglio Pag. attività Regionale e Provinciale".</w:t>
      </w:r>
    </w:p>
    <w:p w:rsidR="003E4AAB" w:rsidRPr="007537B8" w:rsidRDefault="003E4AAB" w:rsidP="003E4AAB">
      <w:pPr>
        <w:pStyle w:val="Nessunaspaziatura"/>
        <w:jc w:val="both"/>
        <w:rPr>
          <w:rFonts w:cs="Arial"/>
          <w:color w:val="002060"/>
        </w:rPr>
      </w:pPr>
      <w:r w:rsidRPr="007537B8">
        <w:rPr>
          <w:rFonts w:cs="Arial"/>
          <w:color w:val="002060"/>
        </w:rPr>
        <w:t xml:space="preserve">Con la medesima procedura è possibile anche richiedere il </w:t>
      </w:r>
      <w:r w:rsidRPr="007537B8">
        <w:rPr>
          <w:rFonts w:cs="Arial"/>
          <w:b/>
          <w:bCs/>
          <w:color w:val="002060"/>
        </w:rPr>
        <w:t>trasferimento dei fondi</w:t>
      </w:r>
      <w:r w:rsidRPr="007537B8">
        <w:rPr>
          <w:rFonts w:cs="Arial"/>
          <w:color w:val="002060"/>
        </w:rPr>
        <w:t xml:space="preserve">, totale o parziale, da un portafoglio all'altro. </w:t>
      </w:r>
    </w:p>
    <w:p w:rsidR="003E4AAB" w:rsidRPr="007537B8" w:rsidRDefault="003E4AAB" w:rsidP="003E4AAB">
      <w:pPr>
        <w:pStyle w:val="Nessunaspaziatura"/>
        <w:jc w:val="both"/>
        <w:rPr>
          <w:rFonts w:cs="Arial"/>
          <w:color w:val="002060"/>
        </w:rPr>
      </w:pPr>
    </w:p>
    <w:p w:rsidR="003E4AAB" w:rsidRPr="007537B8" w:rsidRDefault="003E4AAB" w:rsidP="003E4AAB">
      <w:pPr>
        <w:pStyle w:val="Nessunaspaziatura"/>
        <w:jc w:val="both"/>
        <w:rPr>
          <w:rFonts w:cs="Arial"/>
          <w:b/>
          <w:bCs/>
          <w:color w:val="002060"/>
          <w:u w:val="single"/>
        </w:rPr>
      </w:pPr>
      <w:r w:rsidRPr="007537B8">
        <w:rPr>
          <w:rFonts w:cs="Arial"/>
          <w:b/>
          <w:bCs/>
          <w:color w:val="002060"/>
          <w:u w:val="single"/>
        </w:rPr>
        <w:t>PAGAMENTO ISCRIZIONI</w:t>
      </w:r>
    </w:p>
    <w:p w:rsidR="003E4AAB" w:rsidRPr="007537B8" w:rsidRDefault="003E4AAB" w:rsidP="003E4AAB">
      <w:pPr>
        <w:pStyle w:val="Nessunaspaziatura"/>
        <w:jc w:val="both"/>
        <w:rPr>
          <w:rFonts w:cs="Arial"/>
          <w:color w:val="002060"/>
        </w:rPr>
      </w:pPr>
      <w:r w:rsidRPr="007537B8">
        <w:rPr>
          <w:rFonts w:cs="Arial"/>
          <w:color w:val="002060"/>
        </w:rPr>
        <w:t>Una volta effettuata l'iscrizione e approvata la richiesta di ricarica del portafoglio iscrizioni:</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cliccare "Pagamento documenti iscrizioni da Portafoglio" nel sottomenu "Gestione Pagamenti Iscrizioni" in "Iscrizioni Regionali e Provinciali" del menu principale;</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selezionare il documento di iscrizione da pagare di cui viene fornito l'importo totale e cliccare "Paga selezionati;</w:t>
      </w:r>
    </w:p>
    <w:p w:rsidR="003E4AAB" w:rsidRPr="007537B8" w:rsidRDefault="003E4AAB" w:rsidP="003E4AAB">
      <w:pPr>
        <w:pStyle w:val="Nessunaspaziatura"/>
        <w:numPr>
          <w:ilvl w:val="0"/>
          <w:numId w:val="1"/>
        </w:numPr>
        <w:jc w:val="both"/>
        <w:rPr>
          <w:rFonts w:cs="Arial"/>
          <w:color w:val="002060"/>
        </w:rPr>
      </w:pPr>
      <w:r w:rsidRPr="007537B8">
        <w:rPr>
          <w:rFonts w:cs="Arial"/>
          <w:color w:val="002060"/>
        </w:rPr>
        <w:t>inserire nel campo "Paga importo" l'ammontare dell'iscrizione da pagare e cliccare "Conferma pagamento";</w:t>
      </w:r>
    </w:p>
    <w:p w:rsidR="003E4AAB" w:rsidRPr="007537B8" w:rsidRDefault="003E4AAB" w:rsidP="003E4AAB">
      <w:pPr>
        <w:pStyle w:val="LndNormale1"/>
        <w:rPr>
          <w:rFonts w:cs="Arial"/>
          <w:color w:val="002060"/>
        </w:rPr>
      </w:pPr>
      <w:r w:rsidRPr="007537B8">
        <w:rPr>
          <w:rFonts w:cs="Arial"/>
          <w:color w:val="002060"/>
        </w:rPr>
        <w:t>il sistema genera automaticamente la ricevuta del pagamento la quale è consultabile alla voce "Elenco ricevute pagamento emesse" all'interno del sottomenu "Gestione Pagamenti Iscrizioni"</w:t>
      </w:r>
    </w:p>
    <w:p w:rsidR="003E4AAB" w:rsidRDefault="003E4AAB"/>
    <w:sectPr w:rsidR="003E4A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AB"/>
    <w:rsid w:val="00243B84"/>
    <w:rsid w:val="003E4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E4AAB"/>
    <w:rPr>
      <w:color w:val="0000FF"/>
      <w:u w:val="single"/>
    </w:rPr>
  </w:style>
  <w:style w:type="character" w:customStyle="1" w:styleId="NessunaspaziaturaCarattere">
    <w:name w:val="Nessuna spaziatura Carattere"/>
    <w:link w:val="Nessunaspaziatura"/>
    <w:uiPriority w:val="1"/>
    <w:locked/>
    <w:rsid w:val="003E4AAB"/>
  </w:style>
  <w:style w:type="paragraph" w:styleId="Nessunaspaziatura">
    <w:name w:val="No Spacing"/>
    <w:link w:val="NessunaspaziaturaCarattere"/>
    <w:uiPriority w:val="1"/>
    <w:qFormat/>
    <w:rsid w:val="003E4AAB"/>
  </w:style>
  <w:style w:type="character" w:customStyle="1" w:styleId="LndNormale1Carattere">
    <w:name w:val="LndNormale1 Carattere"/>
    <w:link w:val="LndNormale1"/>
    <w:locked/>
    <w:rsid w:val="003E4AAB"/>
    <w:rPr>
      <w:noProof/>
    </w:rPr>
  </w:style>
  <w:style w:type="paragraph" w:customStyle="1" w:styleId="LndNormale1">
    <w:name w:val="LndNormale1"/>
    <w:basedOn w:val="Normale"/>
    <w:link w:val="LndNormale1Carattere"/>
    <w:rsid w:val="003E4AAB"/>
    <w:pPr>
      <w:overflowPunct w:val="0"/>
      <w:autoSpaceDE w:val="0"/>
      <w:autoSpaceDN w:val="0"/>
      <w:adjustRightInd w:val="0"/>
      <w:jc w:val="both"/>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E4AAB"/>
    <w:rPr>
      <w:color w:val="0000FF"/>
      <w:u w:val="single"/>
    </w:rPr>
  </w:style>
  <w:style w:type="character" w:customStyle="1" w:styleId="NessunaspaziaturaCarattere">
    <w:name w:val="Nessuna spaziatura Carattere"/>
    <w:link w:val="Nessunaspaziatura"/>
    <w:uiPriority w:val="1"/>
    <w:locked/>
    <w:rsid w:val="003E4AAB"/>
  </w:style>
  <w:style w:type="paragraph" w:styleId="Nessunaspaziatura">
    <w:name w:val="No Spacing"/>
    <w:link w:val="NessunaspaziaturaCarattere"/>
    <w:uiPriority w:val="1"/>
    <w:qFormat/>
    <w:rsid w:val="003E4AAB"/>
  </w:style>
  <w:style w:type="character" w:customStyle="1" w:styleId="LndNormale1Carattere">
    <w:name w:val="LndNormale1 Carattere"/>
    <w:link w:val="LndNormale1"/>
    <w:locked/>
    <w:rsid w:val="003E4AAB"/>
    <w:rPr>
      <w:noProof/>
    </w:rPr>
  </w:style>
  <w:style w:type="paragraph" w:customStyle="1" w:styleId="LndNormale1">
    <w:name w:val="LndNormale1"/>
    <w:basedOn w:val="Normale"/>
    <w:link w:val="LndNormale1Carattere"/>
    <w:rsid w:val="003E4AAB"/>
    <w:pPr>
      <w:overflowPunct w:val="0"/>
      <w:autoSpaceDE w:val="0"/>
      <w:autoSpaceDN w:val="0"/>
      <w:adjustRightInd w:val="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bank.eu/it/mybank/banche-e-psp-ader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 Chuwi</dc:creator>
  <cp:lastModifiedBy>Pino Chuwi</cp:lastModifiedBy>
  <cp:revision>1</cp:revision>
  <dcterms:created xsi:type="dcterms:W3CDTF">2019-07-10T15:49:00Z</dcterms:created>
  <dcterms:modified xsi:type="dcterms:W3CDTF">2019-07-10T15:50:00Z</dcterms:modified>
</cp:coreProperties>
</file>